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line="276"/>
        <w:jc w:val="left"/>
      </w:pPr>
      <w:r>
        <w:rPr>
          <w:rFonts w:ascii="Arial" w:cs="Arial" w:eastAsia="Arial" w:hAnsi="Arial"/>
          <w:b/>
          <w:bCs/>
          <w:i w:val="false"/>
          <w:iCs w:val="false"/>
          <w:color w:val="F58220"/>
          <w:sz w:val="28"/>
          <w:szCs w:val="28"/>
        </w:rPr>
        <w:t xml:space="preserve">V.E.N.D.E. con IA</w:t>
      </w:r>
    </w:p>
    <w:p>
      <w:pPr>
        <w:spacing w:after="20" w:before="0" w:line="276"/>
        <w:jc w:val="left"/>
      </w:pPr>
      <w:r>
        <w:rPr>
          <w:rFonts w:ascii="Arial" w:cs="Arial" w:eastAsia="Arial" w:hAnsi="Arial"/>
          <w:b/>
          <w:bCs/>
          <w:i w:val="false"/>
          <w:iCs w:val="false"/>
          <w:color w:val="1F3251"/>
          <w:sz w:val="48"/>
          <w:szCs w:val="48"/>
        </w:rPr>
        <w:t xml:space="preserve">Guion de Primera Conversación</w:t>
      </w:r>
    </w:p>
    <w:p>
      <w:pPr>
        <w:spacing w:after="40" w:before="0" w:line="276"/>
        <w:jc w:val="left"/>
      </w:pPr>
      <w:r>
        <w:rPr>
          <w:rFonts w:ascii="Arial" w:cs="Arial" w:eastAsia="Arial" w:hAnsi="Arial"/>
          <w:b/>
          <w:bCs/>
          <w:i w:val="false"/>
          <w:iCs w:val="false"/>
          <w:color w:val="F58220"/>
          <w:sz w:val="36"/>
          <w:szCs w:val="36"/>
        </w:rPr>
        <w:t xml:space="preserve">+ Protocolo de Cotización</w:t>
      </w:r>
    </w:p>
    <w:p>
      <w:pPr>
        <w:spacing w:after="60" w:before="0" w:line="276"/>
        <w:jc w:val="left"/>
      </w:pPr>
      <w:r>
        <w:rPr>
          <w:rFonts w:ascii="Arial" w:cs="Arial" w:eastAsia="Arial" w:hAnsi="Arial"/>
          <w:b w:val="false"/>
          <w:bCs w:val="false"/>
          <w:i w:val="false"/>
          <w:iCs w:val="false"/>
          <w:color w:val="6B7280"/>
          <w:sz w:val="19"/>
          <w:szCs w:val="19"/>
        </w:rPr>
        <w:t xml:space="preserve">Para que tu equipo venda con proceso, no con improvisación · Versión 1.0 · Agosto 2026</w:t>
      </w:r>
    </w:p>
    <w:p>
      <w:pPr>
        <w:pBdr>
          <w:bottom w:val="single" w:color="F58220" w:sz="18"/>
        </w:pBdr>
        <w:spacing w:after="200"/>
      </w:pPr>
    </w:p>
    <w:p>
      <w:pPr>
        <w:shd w:fill="FDEBD8" w:val="clear"/>
        <w:spacing w:after="140" w:before="260"/>
      </w:pPr>
      <w:r>
        <w:rPr>
          <w:rFonts w:ascii="Arial" w:cs="Arial" w:eastAsia="Arial" w:hAnsi="Arial"/>
          <w:b/>
          <w:bCs/>
          <w:i w:val="false"/>
          <w:iCs w:val="false"/>
          <w:color w:val="1F3251"/>
          <w:sz w:val="26"/>
          <w:szCs w:val="26"/>
        </w:rPr>
        <w:t xml:space="preserve">  ¿Qué es esta herramienta?</w:t>
      </w:r>
    </w:p>
    <w:p>
      <w:pPr>
        <w:spacing w:after="120" w:before="0" w:line="276"/>
        <w:jc w:val="left"/>
      </w:pPr>
      <w:r>
        <w:rPr>
          <w:rFonts w:ascii="Arial" w:cs="Arial" w:eastAsia="Arial" w:hAnsi="Arial"/>
          <w:b w:val="false"/>
          <w:bCs w:val="false"/>
          <w:i w:val="false"/>
          <w:iCs w:val="false"/>
          <w:color w:val="333333"/>
          <w:sz w:val="20"/>
          <w:szCs w:val="20"/>
        </w:rPr>
        <w:t xml:space="preserve">Cuando cada vendedor improvisa cada llamada y cada cotización tarda días en salir, las ventas dependen del talento — y el talento no escala. Un vendedor promedio con proceso supera a uno brillante sin proceso, porque nunca deja una oportunidad sin seguimiento. Esta herramienta te da dos piezas del capítulo Operación Comercial del método V.E.N.D.E. con IA: el guion de las 3 preguntas para la primera conversación con cualquier prospecto, y el protocolo de 4 reglas para que ninguna cotización vuelva a salir tarde ni quedarse sin seguimiento.</w:t>
      </w:r>
    </w:p>
    <w:p>
      <w:pPr>
        <w:shd w:fill="FDEBD8" w:val="clear"/>
        <w:spacing w:after="140" w:before="260"/>
      </w:pPr>
      <w:r>
        <w:rPr>
          <w:rFonts w:ascii="Arial" w:cs="Arial" w:eastAsia="Arial" w:hAnsi="Arial"/>
          <w:b/>
          <w:bCs/>
          <w:i w:val="false"/>
          <w:iCs w:val="false"/>
          <w:color w:val="1F3251"/>
          <w:sz w:val="26"/>
          <w:szCs w:val="26"/>
        </w:rPr>
        <w:t xml:space="preserve">  Cómo usarla</w:t>
      </w:r>
    </w:p>
    <w:p>
      <w:pPr>
        <w:pStyle w:val="ListParagraph"/>
        <w:numPr>
          <w:ilvl w:val="0"/>
          <w:numId w:val="2"/>
        </w:numPr>
        <w:spacing w:after="100" w:line="276"/>
      </w:pPr>
      <w:r>
        <w:rPr>
          <w:rFonts w:ascii="Arial" w:cs="Arial" w:eastAsia="Arial" w:hAnsi="Arial"/>
          <w:b w:val="false"/>
          <w:bCs w:val="false"/>
          <w:i w:val="false"/>
          <w:iCs w:val="false"/>
          <w:color w:val="333333"/>
          <w:sz w:val="20"/>
          <w:szCs w:val="20"/>
        </w:rPr>
        <w:t xml:space="preserve">Comparte este documento con todas las personas que hablan con prospectos — no es solo para “el vendedor”.</w:t>
      </w:r>
    </w:p>
    <w:p>
      <w:pPr>
        <w:pStyle w:val="ListParagraph"/>
        <w:numPr>
          <w:ilvl w:val="0"/>
          <w:numId w:val="2"/>
        </w:numPr>
        <w:spacing w:after="100" w:line="276"/>
      </w:pPr>
      <w:r>
        <w:rPr>
          <w:rFonts w:ascii="Arial" w:cs="Arial" w:eastAsia="Arial" w:hAnsi="Arial"/>
          <w:b w:val="false"/>
          <w:bCs w:val="false"/>
          <w:i w:val="false"/>
          <w:iCs w:val="false"/>
          <w:color w:val="333333"/>
          <w:sz w:val="20"/>
          <w:szCs w:val="20"/>
        </w:rPr>
        <w:t xml:space="preserve">Imprime la Ficha de Primera Conversación (página 2) y usa una por prospecto; o duplica la página en Word si prefieren llenarla en pantalla.</w:t>
      </w:r>
    </w:p>
    <w:p>
      <w:pPr>
        <w:pStyle w:val="ListParagraph"/>
        <w:numPr>
          <w:ilvl w:val="0"/>
          <w:numId w:val="2"/>
        </w:numPr>
        <w:spacing w:after="100" w:line="276"/>
      </w:pPr>
      <w:r>
        <w:rPr>
          <w:rFonts w:ascii="Arial" w:cs="Arial" w:eastAsia="Arial" w:hAnsi="Arial"/>
          <w:b w:val="false"/>
          <w:bCs w:val="false"/>
          <w:i w:val="false"/>
          <w:iCs w:val="false"/>
          <w:color w:val="333333"/>
          <w:sz w:val="20"/>
          <w:szCs w:val="20"/>
        </w:rPr>
        <w:t xml:space="preserve">Imprime el Protocolo de Cotización (página 3) y pégalo junto al escritorio del equipo. Las cuatro reglas se cumplen siempre — o no son reglas.</w:t>
      </w:r>
    </w:p>
    <w:p>
      <w:pPr>
        <w:pStyle w:val="ListParagraph"/>
        <w:numPr>
          <w:ilvl w:val="0"/>
          <w:numId w:val="2"/>
        </w:numPr>
        <w:spacing w:after="100" w:line="276"/>
      </w:pPr>
      <w:r>
        <w:rPr>
          <w:rFonts w:ascii="Arial" w:cs="Arial" w:eastAsia="Arial" w:hAnsi="Arial"/>
          <w:b w:val="false"/>
          <w:bCs w:val="false"/>
          <w:i w:val="false"/>
          <w:iCs w:val="false"/>
          <w:color w:val="333333"/>
          <w:sz w:val="20"/>
          <w:szCs w:val="20"/>
        </w:rPr>
        <w:t xml:space="preserve">Cada ficha terminada alimenta tu Tablero Comercial: la oportunidad entra con nombre, valor, responsable, y próxima acción con fecha.</w:t>
      </w:r>
    </w:p>
    <w:p>
      <w:pPr>
        <w:spacing w:after="120" w:before="80" w:line="276"/>
        <w:jc w:val="left"/>
      </w:pPr>
      <w:r>
        <w:rPr>
          <w:rFonts w:ascii="Arial" w:cs="Arial" w:eastAsia="Arial" w:hAnsi="Arial"/>
          <w:b w:val="false"/>
          <w:bCs w:val="false"/>
          <w:i/>
          <w:iCs/>
          <w:color w:val="1F3251"/>
          <w:sz w:val="19"/>
          <w:szCs w:val="19"/>
        </w:rPr>
        <w:t xml:space="preserve">Regla de oro: el objetivo de la primera conversación NO es vender. Es entender si hay una oportunidad real — y salir con una fecha.</w:t>
      </w:r>
    </w:p>
    <w:p>
      <w:r>
        <w:br w:type="page"/>
      </w:r>
    </w:p>
    <w:p>
      <w:pPr>
        <w:spacing w:after="40" w:before="0" w:line="276"/>
        <w:jc w:val="left"/>
      </w:pPr>
      <w:r>
        <w:rPr>
          <w:rFonts w:ascii="Arial" w:cs="Arial" w:eastAsia="Arial" w:hAnsi="Arial"/>
          <w:b/>
          <w:bCs/>
          <w:i w:val="false"/>
          <w:iCs w:val="false"/>
          <w:color w:val="1F3251"/>
          <w:sz w:val="30"/>
          <w:szCs w:val="30"/>
        </w:rPr>
        <w:t xml:space="preserve">El guion: 3 preguntas que revelan si hay oportunidad real</w:t>
      </w:r>
    </w:p>
    <w:p>
      <w:pPr>
        <w:spacing w:after="140" w:before="0" w:line="276"/>
        <w:jc w:val="left"/>
      </w:pPr>
      <w:r>
        <w:rPr>
          <w:rFonts w:ascii="Arial" w:cs="Arial" w:eastAsia="Arial" w:hAnsi="Arial"/>
          <w:b w:val="false"/>
          <w:bCs w:val="false"/>
          <w:i/>
          <w:iCs/>
          <w:color w:val="6B7280"/>
          <w:sz w:val="18"/>
          <w:szCs w:val="18"/>
        </w:rPr>
        <w:t xml:space="preserve">Para abrir, con naturalidad: “Antes de prepararte una propuesta, ¿me dejas hacerte tres preguntas rápidas para entender bien lo que necesitas?” Con las respuestas, quien cotiza tiene lo suficiente para hacer una propuesta relevante — no genérica.</w:t>
      </w:r>
    </w:p>
    <w:tbl>
      <w:tblPr>
        <w:tblW w:type="dxa" w:w="9360"/>
        <w:tblBorders>
          <w:top w:val="single" w:color="D5D9E0" w:sz="4"/>
          <w:left w:val="single" w:color="D5D9E0" w:sz="4"/>
          <w:bottom w:val="single" w:color="D5D9E0" w:sz="4"/>
          <w:right w:val="single" w:color="D5D9E0" w:sz="4"/>
          <w:insideH w:val="single" w:color="D5D9E0" w:sz="4"/>
          <w:insideV w:val="single" w:color="D5D9E0" w:sz="4"/>
        </w:tblBorders>
      </w:tblPr>
      <w:tblGrid>
        <w:gridCol w:w="4680"/>
        <w:gridCol w:w="4680"/>
      </w:tblGrid>
      <w:tr>
        <w:trPr>
          <w:cantSplit/>
        </w:trPr>
        <w:tc>
          <w:tcPr>
            <w:tcW w:type="dxa" w:w="9360"/>
            <w:gridSpan w:val="2"/>
            <w:shd w:fill="1F3251" w:val="clear"/>
            <w:tcMar>
              <w:top w:type="dxa" w:w="80"/>
              <w:left w:type="dxa" w:w="140"/>
              <w:bottom w:type="dxa" w:w="80"/>
              <w:right w:type="dxa" w:w="140"/>
            </w:tcMar>
          </w:tcPr>
          <w:p>
            <w:pPr>
              <w:spacing w:after="120" w:before="0" w:line="276"/>
              <w:jc w:val="left"/>
            </w:pPr>
            <w:r>
              <w:rPr>
                <w:rFonts w:ascii="Arial" w:cs="Arial" w:eastAsia="Arial" w:hAnsi="Arial"/>
                <w:b/>
                <w:bCs/>
                <w:i w:val="false"/>
                <w:iCs w:val="false"/>
                <w:color w:val="FFFFFF"/>
                <w:sz w:val="22"/>
                <w:szCs w:val="22"/>
              </w:rPr>
              <w:t xml:space="preserve">FICHA DE PRIMERA CONVERSACIÓN</w:t>
            </w:r>
          </w:p>
        </w:tc>
      </w:tr>
      <w:tr>
        <w:trPr>
          <w:cantSplit/>
        </w:trPr>
        <w:tc>
          <w:tcPr>
            <w:tcW w:type="dxa" w:w="4680"/>
            <w:shd w:fill="FFF7EC" w:val="clear"/>
            <w:tcMar>
              <w:top w:type="dxa" w:w="60"/>
              <w:left w:type="dxa" w:w="140"/>
              <w:bottom w:type="dxa" w:w="60"/>
              <w:right w:type="dxa" w:w="140"/>
            </w:tcMar>
          </w:tcPr>
          <w:p>
            <w:pPr>
              <w:spacing w:after="40" w:before="0" w:line="276"/>
              <w:jc w:val="left"/>
            </w:pPr>
            <w:r>
              <w:rPr>
                <w:rFonts w:ascii="Arial" w:cs="Arial" w:eastAsia="Arial" w:hAnsi="Arial"/>
                <w:b/>
                <w:bCs/>
                <w:i w:val="false"/>
                <w:iCs w:val="false"/>
                <w:color w:val="1F3251"/>
                <w:sz w:val="18"/>
                <w:szCs w:val="18"/>
              </w:rPr>
              <w:t xml:space="preserve">Prospecto / empresa:</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tc>
        <w:tc>
          <w:tcPr>
            <w:tcW w:type="dxa" w:w="4680"/>
            <w:shd w:fill="FFF7EC" w:val="clear"/>
            <w:tcMar>
              <w:top w:type="dxa" w:w="60"/>
              <w:left w:type="dxa" w:w="140"/>
              <w:bottom w:type="dxa" w:w="60"/>
              <w:right w:type="dxa" w:w="140"/>
            </w:tcMar>
          </w:tcPr>
          <w:p>
            <w:pPr>
              <w:spacing w:after="40" w:before="0" w:line="276"/>
              <w:jc w:val="left"/>
            </w:pPr>
            <w:r>
              <w:rPr>
                <w:rFonts w:ascii="Arial" w:cs="Arial" w:eastAsia="Arial" w:hAnsi="Arial"/>
                <w:b/>
                <w:bCs/>
                <w:i w:val="false"/>
                <w:iCs w:val="false"/>
                <w:color w:val="1F3251"/>
                <w:sz w:val="18"/>
                <w:szCs w:val="18"/>
              </w:rPr>
              <w:t xml:space="preserve">Fecha y responsable:</w:t>
            </w:r>
          </w:p>
          <w:p>
            <w:pPr>
              <w:pBdr>
                <w:bottom w:val="single" w:color="C9CFDA" w:sz="4"/>
              </w:pBdr>
              <w:spacing w:after="60" w:line="300"/>
            </w:pPr>
            <w:r>
              <w:rPr>
                <w:rFonts w:ascii="Arial" w:cs="Arial" w:eastAsia="Arial" w:hAnsi="Arial"/>
                <w:b w:val="false"/>
                <w:bCs w:val="false"/>
                <w:i w:val="false"/>
                <w:iCs w:val="false"/>
                <w:color w:val="333333"/>
                <w:sz w:val="19"/>
                <w:szCs w:val="19"/>
              </w:rPr>
              <w:t xml:space="preserve"> </w:t>
            </w:r>
          </w:p>
        </w:tc>
      </w:tr>
      <w:tr>
        <w:trPr>
          <w:cantSplit/>
        </w:trPr>
        <w:tc>
          <w:tcPr>
            <w:tcW w:type="dxa" w:w="9360"/>
            <w:gridSpan w:val="2"/>
            <w:shd w:fill="FFF7EC" w:val="clear"/>
            <w:tcMar>
              <w:top w:type="dxa" w:w="80"/>
              <w:left w:type="dxa" w:w="140"/>
              <w:bottom w:type="dxa" w:w="80"/>
              <w:right w:type="dxa" w:w="140"/>
            </w:tcMar>
          </w:tcPr>
          <w:p>
            <w:pPr>
              <w:spacing w:after="30" w:before="0" w:line="276"/>
              <w:jc w:val="left"/>
            </w:pPr>
            <w:r>
              <w:rPr>
                <w:rFonts w:ascii="Arial" w:cs="Arial" w:eastAsia="Arial" w:hAnsi="Arial"/>
                <w:b/>
                <w:bCs/>
                <w:i w:val="false"/>
                <w:iCs w:val="false"/>
                <w:color w:val="1F3251"/>
                <w:sz w:val="21"/>
                <w:szCs w:val="21"/>
              </w:rPr>
              <w:t xml:space="preserve">1. ¿Qué lo hizo buscar una solución ahora?</w:t>
            </w:r>
          </w:p>
          <w:p>
            <w:pPr>
              <w:spacing w:after="80" w:before="0" w:line="208"/>
              <w:jc w:val="left"/>
            </w:pPr>
            <w:r>
              <w:rPr>
                <w:rFonts w:ascii="Arial" w:cs="Arial" w:eastAsia="Arial" w:hAnsi="Arial"/>
                <w:b w:val="false"/>
                <w:bCs w:val="false"/>
                <w:i/>
                <w:iCs/>
                <w:color w:val="6B7280"/>
                <w:sz w:val="16"/>
                <w:szCs w:val="16"/>
              </w:rPr>
              <w:t xml:space="preserve">Revela el problema real y el nivel de urgencia. Si no hay un “ahora”, la oportunidad probablemente no es de este mes.</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p>
            <w:pPr>
              <w:pBdr>
                <w:bottom w:val="single" w:color="C9CFDA" w:sz="4"/>
              </w:pBdr>
              <w:spacing w:after="60" w:line="300"/>
            </w:pPr>
            <w:r>
              <w:rPr>
                <w:rFonts w:ascii="Arial" w:cs="Arial" w:eastAsia="Arial" w:hAnsi="Arial"/>
                <w:b w:val="false"/>
                <w:bCs w:val="false"/>
                <w:i w:val="false"/>
                <w:iCs w:val="false"/>
                <w:color w:val="333333"/>
                <w:sz w:val="19"/>
                <w:szCs w:val="19"/>
              </w:rPr>
              <w:t xml:space="preserve"> </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tc>
      </w:tr>
      <w:tr>
        <w:trPr>
          <w:cantSplit/>
        </w:trPr>
        <w:tc>
          <w:tcPr>
            <w:tcW w:type="dxa" w:w="9360"/>
            <w:gridSpan w:val="2"/>
            <w:shd w:fill="FFF7EC" w:val="clear"/>
            <w:tcMar>
              <w:top w:type="dxa" w:w="80"/>
              <w:left w:type="dxa" w:w="140"/>
              <w:bottom w:type="dxa" w:w="80"/>
              <w:right w:type="dxa" w:w="140"/>
            </w:tcMar>
          </w:tcPr>
          <w:p>
            <w:pPr>
              <w:spacing w:after="30" w:before="0" w:line="276"/>
              <w:jc w:val="left"/>
            </w:pPr>
            <w:r>
              <w:rPr>
                <w:rFonts w:ascii="Arial" w:cs="Arial" w:eastAsia="Arial" w:hAnsi="Arial"/>
                <w:b/>
                <w:bCs/>
                <w:i w:val="false"/>
                <w:iCs w:val="false"/>
                <w:color w:val="1F3251"/>
                <w:sz w:val="21"/>
                <w:szCs w:val="21"/>
              </w:rPr>
              <w:t xml:space="preserve">2. ¿Ha visto otras opciones o está comparando?</w:t>
            </w:r>
          </w:p>
          <w:p>
            <w:pPr>
              <w:spacing w:after="80" w:before="0" w:line="208"/>
              <w:jc w:val="left"/>
            </w:pPr>
            <w:r>
              <w:rPr>
                <w:rFonts w:ascii="Arial" w:cs="Arial" w:eastAsia="Arial" w:hAnsi="Arial"/>
                <w:b w:val="false"/>
                <w:bCs w:val="false"/>
                <w:i/>
                <w:iCs/>
                <w:color w:val="6B7280"/>
                <w:sz w:val="16"/>
                <w:szCs w:val="16"/>
              </w:rPr>
              <w:t xml:space="preserve">Revela el contexto de la decisión: contra quién compites y con qué te van a comparar.</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p>
            <w:pPr>
              <w:pBdr>
                <w:bottom w:val="single" w:color="C9CFDA" w:sz="4"/>
              </w:pBdr>
              <w:spacing w:after="60" w:line="300"/>
            </w:pPr>
            <w:r>
              <w:rPr>
                <w:rFonts w:ascii="Arial" w:cs="Arial" w:eastAsia="Arial" w:hAnsi="Arial"/>
                <w:b w:val="false"/>
                <w:bCs w:val="false"/>
                <w:i w:val="false"/>
                <w:iCs w:val="false"/>
                <w:color w:val="333333"/>
                <w:sz w:val="19"/>
                <w:szCs w:val="19"/>
              </w:rPr>
              <w:t xml:space="preserve"> </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tc>
      </w:tr>
      <w:tr>
        <w:trPr>
          <w:cantSplit/>
        </w:trPr>
        <w:tc>
          <w:tcPr>
            <w:tcW w:type="dxa" w:w="9360"/>
            <w:gridSpan w:val="2"/>
            <w:shd w:fill="FFF7EC" w:val="clear"/>
            <w:tcMar>
              <w:top w:type="dxa" w:w="80"/>
              <w:left w:type="dxa" w:w="140"/>
              <w:bottom w:type="dxa" w:w="80"/>
              <w:right w:type="dxa" w:w="140"/>
            </w:tcMar>
          </w:tcPr>
          <w:p>
            <w:pPr>
              <w:spacing w:after="30" w:before="0" w:line="276"/>
              <w:jc w:val="left"/>
            </w:pPr>
            <w:r>
              <w:rPr>
                <w:rFonts w:ascii="Arial" w:cs="Arial" w:eastAsia="Arial" w:hAnsi="Arial"/>
                <w:b/>
                <w:bCs/>
                <w:i w:val="false"/>
                <w:iCs w:val="false"/>
                <w:color w:val="1F3251"/>
                <w:sz w:val="21"/>
                <w:szCs w:val="21"/>
              </w:rPr>
              <w:t xml:space="preserve">3. ¿Cuál sería el mejor momento para tener una propuesta lista?</w:t>
            </w:r>
          </w:p>
          <w:p>
            <w:pPr>
              <w:spacing w:after="80" w:before="0" w:line="208"/>
              <w:jc w:val="left"/>
            </w:pPr>
            <w:r>
              <w:rPr>
                <w:rFonts w:ascii="Arial" w:cs="Arial" w:eastAsia="Arial" w:hAnsi="Arial"/>
                <w:b w:val="false"/>
                <w:bCs w:val="false"/>
                <w:i/>
                <w:iCs/>
                <w:color w:val="6B7280"/>
                <w:sz w:val="16"/>
                <w:szCs w:val="16"/>
              </w:rPr>
              <w:t xml:space="preserve">Genera compromiso de tiempo y revela el ciclo de decisión del prospecto. La fecha que diga aquí es tu fecha límite interna.</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p>
            <w:pPr>
              <w:pBdr>
                <w:bottom w:val="single" w:color="C9CFDA" w:sz="4"/>
              </w:pBdr>
              <w:spacing w:after="60" w:line="300"/>
            </w:pPr>
            <w:r>
              <w:rPr>
                <w:rFonts w:ascii="Arial" w:cs="Arial" w:eastAsia="Arial" w:hAnsi="Arial"/>
                <w:b w:val="false"/>
                <w:bCs w:val="false"/>
                <w:i w:val="false"/>
                <w:iCs w:val="false"/>
                <w:color w:val="333333"/>
                <w:sz w:val="19"/>
                <w:szCs w:val="19"/>
              </w:rPr>
              <w:t xml:space="preserve"> </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tc>
      </w:tr>
      <w:tr>
        <w:trPr>
          <w:cantSplit/>
        </w:trPr>
        <w:tc>
          <w:tcPr>
            <w:tcW w:type="dxa" w:w="9360"/>
            <w:gridSpan w:val="2"/>
            <w:shd w:fill="FFF7EC" w:val="clear"/>
            <w:tcMar>
              <w:top w:type="dxa" w:w="80"/>
              <w:left w:type="dxa" w:w="140"/>
              <w:bottom w:type="dxa" w:w="80"/>
              <w:right w:type="dxa" w:w="140"/>
            </w:tcMar>
          </w:tcPr>
          <w:p>
            <w:pPr>
              <w:spacing w:after="30" w:before="0" w:line="276"/>
              <w:jc w:val="left"/>
            </w:pPr>
            <w:r>
              <w:rPr>
                <w:rFonts w:ascii="Arial" w:cs="Arial" w:eastAsia="Arial" w:hAnsi="Arial"/>
                <w:b/>
                <w:bCs/>
                <w:i w:val="false"/>
                <w:iCs w:val="false"/>
                <w:color w:val="1F3251"/>
                <w:sz w:val="21"/>
                <w:szCs w:val="21"/>
              </w:rPr>
              <w:t xml:space="preserve">Resumen de lo que necesita — con sus propias palabras:</w:t>
            </w:r>
          </w:p>
          <w:p>
            <w:pPr>
              <w:spacing w:after="80" w:before="0" w:line="208"/>
              <w:jc w:val="left"/>
            </w:pPr>
            <w:r>
              <w:rPr>
                <w:rFonts w:ascii="Arial" w:cs="Arial" w:eastAsia="Arial" w:hAnsi="Arial"/>
                <w:b w:val="false"/>
                <w:bCs w:val="false"/>
                <w:i/>
                <w:iCs/>
                <w:color w:val="6B7280"/>
                <w:sz w:val="16"/>
                <w:szCs w:val="16"/>
              </w:rPr>
              <w:t xml:space="preserve">Esto es lo que quien cotiza necesita para hacer una propuesta relevante. Escribe qué pidió, en qué cantidad o alcance, y cualquier condición que mencionó.</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p>
            <w:pPr>
              <w:pBdr>
                <w:bottom w:val="single" w:color="C9CFDA" w:sz="4"/>
              </w:pBdr>
              <w:spacing w:after="60" w:line="300"/>
            </w:pPr>
            <w:r>
              <w:rPr>
                <w:rFonts w:ascii="Arial" w:cs="Arial" w:eastAsia="Arial" w:hAnsi="Arial"/>
                <w:b w:val="false"/>
                <w:bCs w:val="false"/>
                <w:i w:val="false"/>
                <w:iCs w:val="false"/>
                <w:color w:val="333333"/>
                <w:sz w:val="19"/>
                <w:szCs w:val="19"/>
              </w:rPr>
              <w:t xml:space="preserve"> </w:t>
            </w:r>
          </w:p>
        </w:tc>
      </w:tr>
      <w:tr>
        <w:trPr>
          <w:cantSplit/>
        </w:trPr>
        <w:tc>
          <w:tcPr>
            <w:tcW w:type="dxa" w:w="4680"/>
            <w:shd w:fill="FFF7EC" w:val="clear"/>
            <w:tcMar>
              <w:top w:type="dxa" w:w="60"/>
              <w:left w:type="dxa" w:w="140"/>
              <w:bottom w:type="dxa" w:w="60"/>
              <w:right w:type="dxa" w:w="140"/>
            </w:tcMar>
          </w:tcPr>
          <w:p>
            <w:pPr>
              <w:spacing w:after="40" w:before="0" w:line="276"/>
              <w:jc w:val="left"/>
            </w:pPr>
            <w:r>
              <w:rPr>
                <w:rFonts w:ascii="Arial" w:cs="Arial" w:eastAsia="Arial" w:hAnsi="Arial"/>
                <w:b/>
                <w:bCs/>
                <w:i w:val="false"/>
                <w:iCs w:val="false"/>
                <w:color w:val="1F3251"/>
                <w:sz w:val="18"/>
                <w:szCs w:val="18"/>
              </w:rPr>
              <w:t xml:space="preserve">Valor estimado de la oportunidad ($):</w:t>
            </w:r>
          </w:p>
          <w:p>
            <w:pPr>
              <w:pBdr>
                <w:bottom w:val="single" w:color="C8CED9" w:sz="4"/>
              </w:pBdr>
              <w:spacing w:after="60" w:line="300"/>
            </w:pPr>
            <w:r>
              <w:rPr>
                <w:rFonts w:ascii="Arial" w:cs="Arial" w:eastAsia="Arial" w:hAnsi="Arial"/>
                <w:b w:val="false"/>
                <w:bCs w:val="false"/>
                <w:i w:val="false"/>
                <w:iCs w:val="false"/>
                <w:color w:val="333333"/>
                <w:sz w:val="19"/>
                <w:szCs w:val="19"/>
              </w:rPr>
              <w:t xml:space="preserve"> </w:t>
            </w:r>
          </w:p>
        </w:tc>
        <w:tc>
          <w:tcPr>
            <w:tcW w:type="dxa" w:w="4680"/>
            <w:shd w:fill="FFF7EC" w:val="clear"/>
            <w:tcMar>
              <w:top w:type="dxa" w:w="60"/>
              <w:left w:type="dxa" w:w="140"/>
              <w:bottom w:type="dxa" w:w="60"/>
              <w:right w:type="dxa" w:w="140"/>
            </w:tcMar>
          </w:tcPr>
          <w:p>
            <w:pPr>
              <w:spacing w:after="40" w:before="0" w:line="276"/>
              <w:jc w:val="left"/>
            </w:pPr>
            <w:r>
              <w:rPr>
                <w:rFonts w:ascii="Arial" w:cs="Arial" w:eastAsia="Arial" w:hAnsi="Arial"/>
                <w:b/>
                <w:bCs/>
                <w:i w:val="false"/>
                <w:iCs w:val="false"/>
                <w:color w:val="1F3251"/>
                <w:sz w:val="18"/>
                <w:szCs w:val="18"/>
              </w:rPr>
              <w:t xml:space="preserve">Próxima acción y fecha:</w:t>
            </w:r>
          </w:p>
          <w:p>
            <w:pPr>
              <w:pBdr>
                <w:bottom w:val="single" w:color="C9CFDA" w:sz="4"/>
              </w:pBdr>
              <w:spacing w:after="60" w:line="300"/>
            </w:pPr>
            <w:r>
              <w:rPr>
                <w:rFonts w:ascii="Arial" w:cs="Arial" w:eastAsia="Arial" w:hAnsi="Arial"/>
                <w:b w:val="false"/>
                <w:bCs w:val="false"/>
                <w:i w:val="false"/>
                <w:iCs w:val="false"/>
                <w:color w:val="333333"/>
                <w:sz w:val="19"/>
                <w:szCs w:val="19"/>
              </w:rPr>
              <w:t xml:space="preserve"> </w:t>
            </w:r>
          </w:p>
        </w:tc>
      </w:tr>
    </w:tbl>
    <w:p>
      <w:pPr>
        <w:spacing w:after="120" w:before="100" w:line="276"/>
        <w:jc w:val="left"/>
      </w:pPr>
      <w:r>
        <w:rPr>
          <w:rFonts w:ascii="Arial" w:cs="Arial" w:eastAsia="Arial" w:hAnsi="Arial"/>
          <w:b w:val="false"/>
          <w:bCs w:val="false"/>
          <w:i/>
          <w:iCs/>
          <w:color w:val="6B7280"/>
          <w:sz w:val="17"/>
          <w:szCs w:val="17"/>
        </w:rPr>
        <w:t xml:space="preserve">Consejo: escribe las palabras exactas del prospecto, no tu interpretación. Sus palabras son las que deben aparecer después en tu propuesta.</w:t>
      </w:r>
    </w:p>
    <w:p>
      <w:r>
        <w:br w:type="page"/>
      </w:r>
    </w:p>
    <w:p>
      <w:pPr>
        <w:spacing w:after="30" w:before="0" w:line="276"/>
        <w:jc w:val="left"/>
      </w:pPr>
      <w:r>
        <w:rPr>
          <w:rFonts w:ascii="Arial" w:cs="Arial" w:eastAsia="Arial" w:hAnsi="Arial"/>
          <w:b/>
          <w:bCs/>
          <w:i w:val="false"/>
          <w:iCs w:val="false"/>
          <w:color w:val="1F3251"/>
          <w:sz w:val="30"/>
          <w:szCs w:val="30"/>
        </w:rPr>
        <w:t xml:space="preserve">El Protocolo de Cotización</w:t>
      </w:r>
    </w:p>
    <w:p>
      <w:pPr>
        <w:spacing w:after="140" w:before="0" w:line="276"/>
        <w:jc w:val="left"/>
      </w:pPr>
      <w:r>
        <w:rPr>
          <w:rFonts w:ascii="Arial" w:cs="Arial" w:eastAsia="Arial" w:hAnsi="Arial"/>
          <w:b w:val="false"/>
          <w:bCs w:val="false"/>
          <w:i/>
          <w:iCs/>
          <w:color w:val="6B7280"/>
          <w:sz w:val="18"/>
          <w:szCs w:val="18"/>
        </w:rPr>
        <w:t xml:space="preserve">Cuatro reglas de proceso. Imprímelas y pégalas junto al escritorio del equipo.</w:t>
      </w:r>
    </w:p>
    <w:tbl>
      <w:tblPr>
        <w:tblW w:type="dxa" w:w="9360"/>
        <w:tblBorders>
          <w:top w:val="single" w:color="D5D9E0" w:sz="4"/>
          <w:left w:val="single" w:color="D5D9E0" w:sz="4"/>
          <w:bottom w:val="single" w:color="D5D9E0" w:sz="4"/>
          <w:right w:val="single" w:color="D5D9E0" w:sz="4"/>
          <w:insideH w:val="single" w:color="D5D9E0" w:sz="4"/>
          <w:insideV w:val="single" w:color="D5D9E0" w:sz="4"/>
        </w:tblBorders>
      </w:tblPr>
      <w:tblGrid>
        <w:gridCol w:w="9360"/>
      </w:tblGrid>
      <w:tr>
        <w:trPr>
          <w:cantSplit/>
        </w:trPr>
        <w:tc>
          <w:tcPr>
            <w:tcW w:type="dxa" w:w="9360"/>
            <w:shd w:fill="FFF7EC" w:val="clear"/>
            <w:tcMar>
              <w:top w:type="dxa" w:w="120"/>
              <w:left w:type="dxa" w:w="160"/>
              <w:bottom w:type="dxa" w:w="120"/>
              <w:right w:type="dxa" w:w="160"/>
            </w:tcMar>
          </w:tcPr>
          <w:p>
            <w:pPr>
              <w:spacing w:after="40" w:before="0" w:line="276"/>
              <w:jc w:val="left"/>
            </w:pPr>
            <w:r>
              <w:rPr>
                <w:rFonts w:ascii="Arial" w:cs="Arial" w:eastAsia="Arial" w:hAnsi="Arial"/>
                <w:b/>
                <w:bCs/>
                <w:i w:val="false"/>
                <w:iCs w:val="false"/>
                <w:color w:val="1F3251"/>
                <w:sz w:val="23"/>
                <w:szCs w:val="23"/>
              </w:rPr>
              <w:t xml:space="preserve">Regla 1 — Qué incluye toda cotización</w:t>
            </w:r>
          </w:p>
          <w:p>
            <w:pPr>
              <w:spacing w:after="120" w:before="0" w:line="260"/>
              <w:jc w:val="left"/>
            </w:pPr>
            <w:r>
              <w:rPr>
                <w:rFonts w:ascii="Arial" w:cs="Arial" w:eastAsia="Arial" w:hAnsi="Arial"/>
                <w:b w:val="false"/>
                <w:bCs w:val="false"/>
                <w:i w:val="false"/>
                <w:iCs w:val="false"/>
                <w:color w:val="333333"/>
                <w:sz w:val="20"/>
                <w:szCs w:val="20"/>
              </w:rPr>
              <w:t xml:space="preserve">Sin excepción: alcance del trabajo · precio con desglose básico · tiempo estimado de entrega · vigencia de la propuesta · nombre del responsable de seguimiento en tu empresa.</w:t>
            </w:r>
          </w:p>
        </w:tc>
      </w:tr>
      <w:tr>
        <w:trPr>
          <w:cantSplit/>
        </w:trPr>
        <w:tc>
          <w:tcPr>
            <w:tcW w:type="dxa" w:w="9360"/>
            <w:shd w:fill="FFFFFF" w:val="clear"/>
            <w:tcMar>
              <w:top w:type="dxa" w:w="120"/>
              <w:left w:type="dxa" w:w="160"/>
              <w:bottom w:type="dxa" w:w="120"/>
              <w:right w:type="dxa" w:w="160"/>
            </w:tcMar>
          </w:tcPr>
          <w:p>
            <w:pPr>
              <w:spacing w:after="40" w:before="0" w:line="276"/>
              <w:jc w:val="left"/>
            </w:pPr>
            <w:r>
              <w:rPr>
                <w:rFonts w:ascii="Arial" w:cs="Arial" w:eastAsia="Arial" w:hAnsi="Arial"/>
                <w:b/>
                <w:bCs/>
                <w:i w:val="false"/>
                <w:iCs w:val="false"/>
                <w:color w:val="1F3251"/>
                <w:sz w:val="23"/>
                <w:szCs w:val="23"/>
              </w:rPr>
              <w:t xml:space="preserve">Regla 2 — En cuánto tiempo se envía</w:t>
            </w:r>
          </w:p>
          <w:p>
            <w:pPr>
              <w:spacing w:after="120" w:before="0" w:line="260"/>
              <w:jc w:val="left"/>
            </w:pPr>
            <w:r>
              <w:rPr>
                <w:rFonts w:ascii="Arial" w:cs="Arial" w:eastAsia="Arial" w:hAnsi="Arial"/>
                <w:b w:val="false"/>
                <w:bCs w:val="false"/>
                <w:i w:val="false"/>
                <w:iCs w:val="false"/>
                <w:color w:val="333333"/>
                <w:sz w:val="20"/>
                <w:szCs w:val="20"/>
              </w:rPr>
              <w:t xml:space="preserve">Ninguna propuesta sale después de más de 4 días hábiles desde la visita o solicitud. Ese es el límite máximo — no la meta. La meta es antes.</w:t>
            </w:r>
          </w:p>
        </w:tc>
      </w:tr>
      <w:tr>
        <w:trPr>
          <w:cantSplit/>
        </w:trPr>
        <w:tc>
          <w:tcPr>
            <w:tcW w:type="dxa" w:w="9360"/>
            <w:shd w:fill="FFF7EC" w:val="clear"/>
            <w:tcMar>
              <w:top w:type="dxa" w:w="120"/>
              <w:left w:type="dxa" w:w="160"/>
              <w:bottom w:type="dxa" w:w="120"/>
              <w:right w:type="dxa" w:w="160"/>
            </w:tcMar>
          </w:tcPr>
          <w:p>
            <w:pPr>
              <w:spacing w:after="40" w:before="0" w:line="276"/>
              <w:jc w:val="left"/>
            </w:pPr>
            <w:r>
              <w:rPr>
                <w:rFonts w:ascii="Arial" w:cs="Arial" w:eastAsia="Arial" w:hAnsi="Arial"/>
                <w:b/>
                <w:bCs/>
                <w:i w:val="false"/>
                <w:iCs w:val="false"/>
                <w:color w:val="1F3251"/>
                <w:sz w:val="23"/>
                <w:szCs w:val="23"/>
              </w:rPr>
              <w:t xml:space="preserve">Regla 3 — Cómo se confirma la recepción</w:t>
            </w:r>
          </w:p>
          <w:p>
            <w:pPr>
              <w:spacing w:after="120" w:before="0" w:line="260"/>
              <w:jc w:val="left"/>
            </w:pPr>
            <w:r>
              <w:rPr>
                <w:rFonts w:ascii="Arial" w:cs="Arial" w:eastAsia="Arial" w:hAnsi="Arial"/>
                <w:b w:val="false"/>
                <w:bCs w:val="false"/>
                <w:i w:val="false"/>
                <w:iCs w:val="false"/>
                <w:color w:val="333333"/>
                <w:sz w:val="20"/>
                <w:szCs w:val="20"/>
              </w:rPr>
              <w:t xml:space="preserve">El mismo día del envío: una llamada breve o mensaje de WhatsApp confirmando que llegó y preguntando si hay dudas iniciales.</w:t>
            </w:r>
          </w:p>
        </w:tc>
      </w:tr>
      <w:tr>
        <w:trPr>
          <w:cantSplit/>
        </w:trPr>
        <w:tc>
          <w:tcPr>
            <w:tcW w:type="dxa" w:w="9360"/>
            <w:shd w:fill="FFFFFF" w:val="clear"/>
            <w:tcMar>
              <w:top w:type="dxa" w:w="120"/>
              <w:left w:type="dxa" w:w="160"/>
              <w:bottom w:type="dxa" w:w="120"/>
              <w:right w:type="dxa" w:w="160"/>
            </w:tcMar>
          </w:tcPr>
          <w:p>
            <w:pPr>
              <w:spacing w:after="40" w:before="0" w:line="276"/>
              <w:jc w:val="left"/>
            </w:pPr>
            <w:r>
              <w:rPr>
                <w:rFonts w:ascii="Arial" w:cs="Arial" w:eastAsia="Arial" w:hAnsi="Arial"/>
                <w:b/>
                <w:bCs/>
                <w:i w:val="false"/>
                <w:iCs w:val="false"/>
                <w:color w:val="1F3251"/>
                <w:sz w:val="23"/>
                <w:szCs w:val="23"/>
              </w:rPr>
              <w:t xml:space="preserve">Regla 4 — Cuándo se hace el primer seguimiento</w:t>
            </w:r>
          </w:p>
          <w:p>
            <w:pPr>
              <w:spacing w:after="120" w:before="0" w:line="260"/>
              <w:jc w:val="left"/>
            </w:pPr>
            <w:r>
              <w:rPr>
                <w:rFonts w:ascii="Arial" w:cs="Arial" w:eastAsia="Arial" w:hAnsi="Arial"/>
                <w:b w:val="false"/>
                <w:bCs w:val="false"/>
                <w:i w:val="false"/>
                <w:iCs w:val="false"/>
                <w:color w:val="333333"/>
                <w:sz w:val="20"/>
                <w:szCs w:val="20"/>
              </w:rPr>
              <w:t xml:space="preserve">Entre 48 y 72 horas después de confirmar la recepción: preguntar si hay dudas y definir un próximo paso con fecha. “Quedar en que él nos llama” no es un próximo paso.</w:t>
            </w:r>
          </w:p>
        </w:tc>
      </w:tr>
    </w:tbl>
    <w:p>
      <w:pPr>
        <w:spacing w:after="60" w:before="220" w:line="276"/>
        <w:jc w:val="left"/>
      </w:pPr>
      <w:r>
        <w:rPr>
          <w:rFonts w:ascii="Arial" w:cs="Arial" w:eastAsia="Arial" w:hAnsi="Arial"/>
          <w:b/>
          <w:bCs/>
          <w:i w:val="false"/>
          <w:iCs w:val="false"/>
          <w:color w:val="1F3251"/>
          <w:sz w:val="24"/>
          <w:szCs w:val="24"/>
        </w:rPr>
        <w:t xml:space="preserve">El SLA del equipo (acuerdo de nivel de servicio)</w:t>
      </w:r>
    </w:p>
    <w:p>
      <w:pPr>
        <w:spacing w:after="120" w:before="0" w:line="276"/>
        <w:jc w:val="left"/>
      </w:pPr>
      <w:r>
        <w:rPr>
          <w:rFonts w:ascii="Arial" w:cs="Arial" w:eastAsia="Arial" w:hAnsi="Arial"/>
          <w:b w:val="false"/>
          <w:bCs w:val="false"/>
          <w:i w:val="false"/>
          <w:iCs w:val="false"/>
          <w:color w:val="333333"/>
          <w:sz w:val="20"/>
          <w:szCs w:val="20"/>
        </w:rPr>
        <w:t xml:space="preserve">Ningún prospecto calificado espera más de 48 horas para recibir una respuesta. No 48 horas para la cotización completa: 48 horas para el primer contacto que confirme que lo recibiste y estás trabajando en su propuesta. En el caso del libro, esta sola regla bajó el tiempo promedio de envío de cotizaciones de once días a dos.</w:t>
      </w:r>
    </w:p>
    <w:p>
      <w:pPr>
        <w:spacing w:after="120" w:before="60" w:line="276"/>
        <w:jc w:val="left"/>
      </w:pPr>
      <w:r>
        <w:rPr>
          <w:rFonts w:ascii="Arial" w:cs="Arial" w:eastAsia="Arial" w:hAnsi="Arial"/>
          <w:b w:val="false"/>
          <w:bCs w:val="false"/>
          <w:i/>
          <w:iCs/>
          <w:color w:val="F58220"/>
          <w:sz w:val="19"/>
          <w:szCs w:val="19"/>
        </w:rPr>
        <w:t xml:space="preserve">Señal de alerta: toda propuesta enviada sin fecha de seguimiento asignada es una venta que se está perdiendo en silencio.</w:t>
      </w:r>
    </w:p>
    <w:p>
      <w:r>
        <w:br w:type="page"/>
      </w:r>
    </w:p>
    <w:p>
      <w:pPr>
        <w:shd w:fill="FDEBD8" w:val="clear"/>
        <w:spacing w:after="140" w:before="260"/>
      </w:pPr>
      <w:r>
        <w:rPr>
          <w:rFonts w:ascii="Arial" w:cs="Arial" w:eastAsia="Arial" w:hAnsi="Arial"/>
          <w:b/>
          <w:bCs/>
          <w:i w:val="false"/>
          <w:iCs w:val="false"/>
          <w:color w:val="1F3251"/>
          <w:sz w:val="26"/>
          <w:szCs w:val="26"/>
        </w:rPr>
        <w:t xml:space="preserve">  El siguiente paso: tu playbook de ventas de 5 páginas</w:t>
      </w:r>
    </w:p>
    <w:p>
      <w:pPr>
        <w:spacing w:after="120" w:before="0" w:line="276"/>
        <w:jc w:val="left"/>
      </w:pPr>
      <w:r>
        <w:rPr>
          <w:rFonts w:ascii="Arial" w:cs="Arial" w:eastAsia="Arial" w:hAnsi="Arial"/>
          <w:b w:val="false"/>
          <w:bCs w:val="false"/>
          <w:i w:val="false"/>
          <w:iCs w:val="false"/>
          <w:color w:val="333333"/>
          <w:sz w:val="20"/>
          <w:szCs w:val="20"/>
        </w:rPr>
        <w:t xml:space="preserve">Este guion y este protocolo son dos de los cinco elementos mínimos del playbook de una PyME: 1) la propuesta de valor que cualquiera del equipo puede repetir, 2) las preguntas de la primera conversación, 3) las tres objeciones más frecuentes con su respuesta estándar, 4) la secuencia de seguimiento por etapa, y 5) qué hacer cuando una oportunidad se estanca. Cinco páginas que el equipo usa cambian un negocio; cincuenta que nadie lee no cambian nada.</w:t>
      </w:r>
    </w:p>
    <w:p>
      <w:pPr>
        <w:spacing w:after="120" w:before="0" w:line="276"/>
        <w:jc w:val="left"/>
      </w:pPr>
      <w:r>
        <w:rPr>
          <w:rFonts w:ascii="Arial" w:cs="Arial" w:eastAsia="Arial" w:hAnsi="Arial"/>
          <w:b w:val="false"/>
          <w:bCs w:val="false"/>
          <w:i w:val="false"/>
          <w:iCs w:val="false"/>
          <w:color w:val="333333"/>
          <w:sz w:val="20"/>
          <w:szCs w:val="20"/>
        </w:rPr>
        <w:t xml:space="preserve">No lo empieces desde cero. Pega este prompt en tu herramienta de IA favorita y corrige el borrador con la realidad de tu negocio:</w:t>
      </w:r>
    </w:p>
    <w:p>
      <w:pPr>
        <w:pBdr>
          <w:top w:val="single" w:color="D5D9E0" w:sz="4"/>
          <w:bottom w:val="single" w:color="D5D9E0" w:sz="4"/>
          <w:left w:val="single" w:color="D5D9E0" w:sz="4"/>
          <w:right w:val="single" w:color="D5D9E0" w:sz="4"/>
        </w:pBdr>
        <w:shd w:fill="FFF7EC" w:val="clear"/>
        <w:spacing w:after="160" w:line="276"/>
      </w:pPr>
      <w:r>
        <w:rPr>
          <w:rFonts w:ascii="Arial" w:cs="Arial" w:eastAsia="Arial" w:hAnsi="Arial"/>
          <w:b w:val="false"/>
          <w:bCs w:val="false"/>
          <w:i/>
          <w:iCs/>
          <w:color w:val="333333"/>
          <w:sz w:val="19"/>
          <w:szCs w:val="19"/>
        </w:rPr>
        <w:t xml:space="preserve">“Actúa como consultor comercial de una PyME. Mi empresa vende [producto o servicio] a [tipo de cliente]. Nuestras tres objeciones más comunes son [objeción 1], [objeción 2] y [objeción 3]. Redacta el primer borrador de un playbook de ventas de 5 páginas: propuesta de valor en lenguaje simple, preguntas para la primera conversación con un prospecto, respuesta estándar a cada objeción, y secuencia de seguimiento después de enviar una cotización.”</w:t>
      </w:r>
    </w:p>
    <w:p>
      <w:pPr>
        <w:spacing w:after="120" w:before="0" w:line="276"/>
        <w:jc w:val="left"/>
      </w:pPr>
      <w:r>
        <w:rPr>
          <w:rFonts w:ascii="Arial" w:cs="Arial" w:eastAsia="Arial" w:hAnsi="Arial"/>
          <w:b w:val="false"/>
          <w:bCs w:val="false"/>
          <w:i/>
          <w:iCs/>
          <w:color w:val="6B7280"/>
          <w:sz w:val="18"/>
          <w:szCs w:val="18"/>
        </w:rPr>
        <w:t xml:space="preserve">Estas fichas alimentan el Tablero Comercial de Ventas — la herramienta gratuita #1 de esta colección, disponible también en vendeconia.com.mx.</w:t>
      </w:r>
    </w:p>
    <w:p>
      <w:pPr>
        <w:spacing w:after="12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rPr>
          <w:cantSplit/>
        </w:trPr>
        <w:tc>
          <w:tcPr>
            <w:tcW w:type="dxa" w:w="9360"/>
            <w:shd w:fill="1F3251" w:val="clear"/>
            <w:tcMar>
              <w:top w:type="dxa" w:w="160"/>
              <w:left w:type="dxa" w:w="200"/>
              <w:bottom w:type="dxa" w:w="160"/>
              <w:right w:type="dxa" w:w="200"/>
            </w:tcMar>
          </w:tcPr>
          <w:p>
            <w:pPr>
              <w:spacing w:after="100" w:before="0" w:line="276"/>
              <w:jc w:val="left"/>
            </w:pPr>
            <w:r>
              <w:rPr>
                <w:rFonts w:ascii="Arial" w:cs="Arial" w:eastAsia="Arial" w:hAnsi="Arial"/>
                <w:b w:val="false"/>
                <w:bCs w:val="false"/>
                <w:i w:val="false"/>
                <w:iCs w:val="false"/>
                <w:color w:val="FFFFFF"/>
                <w:sz w:val="19"/>
                <w:szCs w:val="19"/>
              </w:rPr>
              <w:t xml:space="preserve">Esta herramienta forma parte del ecosistema V.E.N.D.E. con IA, creado para ayudarte a vender más, crecer con orden y construir una empresa más rentable con ayuda de la inteligencia artificial.</w:t>
            </w:r>
          </w:p>
          <w:p>
            <w:pPr>
              <w:spacing w:after="100" w:before="0" w:line="276"/>
              <w:jc w:val="left"/>
            </w:pPr>
            <w:r>
              <w:rPr>
                <w:rFonts w:ascii="Arial" w:cs="Arial" w:eastAsia="Arial" w:hAnsi="Arial"/>
                <w:b/>
                <w:bCs/>
                <w:i w:val="false"/>
                <w:iCs w:val="false"/>
                <w:color w:val="F58220"/>
                <w:sz w:val="21"/>
                <w:szCs w:val="21"/>
              </w:rPr>
              <w:t xml:space="preserve">Conoce el libro V.E.N.D.E. con IA y encuentra más herramientas, recursos, cursos, webinars, asesoría y comunidad en:  vendeconia.com.mx</w:t>
            </w:r>
          </w:p>
          <w:p>
            <w:pPr>
              <w:spacing w:after="120" w:before="0" w:line="276"/>
              <w:jc w:val="left"/>
            </w:pPr>
            <w:r>
              <w:rPr>
                <w:rFonts w:ascii="Arial" w:cs="Arial" w:eastAsia="Arial" w:hAnsi="Arial"/>
                <w:b w:val="false"/>
                <w:bCs w:val="false"/>
                <w:i w:val="false"/>
                <w:iCs w:val="false"/>
                <w:color w:val="D8DEE9"/>
                <w:sz w:val="18"/>
                <w:szCs w:val="18"/>
              </w:rPr>
              <w:t xml:space="preserve">¿Dudas, comentarios o sugerencias? Escríbenos: contacto@vendeconia.com.mx</w:t>
            </w:r>
          </w:p>
        </w:tc>
      </w:tr>
    </w:tbl>
    <w:p>
      <w:pPr>
        <w:spacing w:after="120" w:before="120" w:line="276"/>
        <w:jc w:val="left"/>
      </w:pPr>
      <w:r>
        <w:rPr>
          <w:rFonts w:ascii="Arial" w:cs="Arial" w:eastAsia="Arial" w:hAnsi="Arial"/>
          <w:b w:val="false"/>
          <w:bCs w:val="false"/>
          <w:i/>
          <w:iCs/>
          <w:color w:val="6B7280"/>
          <w:sz w:val="16"/>
          <w:szCs w:val="16"/>
        </w:rPr>
        <w:t xml:space="preserve">Registro de cambios:  v1.0 · Agosto 2026 · Versión inicial.</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2026-08-09T04:46:21.926Z</dcterms:created>
  <dcterms:modified xsi:type="dcterms:W3CDTF">2026-08-09T04:46:21.926Z</dcterms:modified>
</cp:coreProperties>
</file>

<file path=docProps/custom.xml><?xml version="1.0" encoding="utf-8"?>
<Properties xmlns="http://schemas.openxmlformats.org/officeDocument/2006/custom-properties" xmlns:vt="http://schemas.openxmlformats.org/officeDocument/2006/docPropsVTypes"/>
</file>